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afterLines="100" w:line="360" w:lineRule="auto"/>
        <w:jc w:val="center"/>
        <w:rPr>
          <w:rFonts w:ascii="宋体" w:hAnsi="宋体" w:cs="宋体"/>
          <w:b/>
          <w:sz w:val="36"/>
          <w:szCs w:val="36"/>
        </w:rPr>
      </w:pPr>
      <w:r>
        <w:rPr>
          <w:rFonts w:hint="eastAsia" w:ascii="宋体" w:hAnsi="宋体" w:cs="宋体"/>
          <w:b/>
          <w:sz w:val="36"/>
          <w:szCs w:val="36"/>
        </w:rPr>
        <w:t>目   录</w:t>
      </w:r>
    </w:p>
    <w:p>
      <w:pPr>
        <w:pStyle w:val="7"/>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cs="宋体"/>
          <w:b/>
          <w:sz w:val="36"/>
          <w:szCs w:val="36"/>
        </w:rPr>
        <w:fldChar w:fldCharType="begin"/>
      </w:r>
      <w:r>
        <w:rPr>
          <w:rFonts w:hint="eastAsia" w:ascii="宋体" w:hAnsi="宋体" w:cs="宋体"/>
          <w:b/>
          <w:sz w:val="36"/>
          <w:szCs w:val="36"/>
        </w:rPr>
        <w:instrText xml:space="preserve"> TOC \h \z \t "样式3,3,样式9,3,样式 标题 1 + 居中,1,样式2,1,样式7,2,样式25,3,样式35,1,李1,1,李2,2" </w:instrText>
      </w:r>
      <w:r>
        <w:rPr>
          <w:rFonts w:hint="eastAsia" w:ascii="宋体" w:hAnsi="宋体" w:cs="宋体"/>
          <w:b/>
          <w:sz w:val="36"/>
          <w:szCs w:val="36"/>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"_Toc435893178"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一、公共艺术专业的建设基本情况</w:t>
      </w:r>
      <w:r>
        <w:rPr>
          <w:rFonts w:hint="eastAsia" w:ascii="宋体" w:hAnsi="宋体" w:eastAsia="宋体" w:cs="宋体"/>
          <w:sz w:val="24"/>
          <w:szCs w:val="24"/>
        </w:rPr>
        <w:tab/>
      </w:r>
      <w:r>
        <w:rPr>
          <w:rFonts w:hint="eastAsia" w:ascii="宋体" w:hAnsi="宋体" w:eastAsia="宋体" w:cs="宋体"/>
          <w:sz w:val="24"/>
          <w:szCs w:val="24"/>
          <w:lang w:val="en-US" w:eastAsia="zh-CN"/>
        </w:rPr>
        <w:t>1</w:t>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"_Toc435893179"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（一）公共艺术专业建设背景</w:t>
      </w:r>
      <w:r>
        <w:rPr>
          <w:rFonts w:hint="eastAsia" w:ascii="宋体" w:hAnsi="宋体" w:eastAsia="宋体" w:cs="宋体"/>
          <w:sz w:val="24"/>
          <w:szCs w:val="24"/>
        </w:rPr>
        <w:tab/>
      </w:r>
      <w:r>
        <w:rPr>
          <w:rFonts w:hint="eastAsia" w:ascii="宋体" w:hAnsi="宋体" w:eastAsia="宋体" w:cs="宋体"/>
          <w:sz w:val="24"/>
          <w:szCs w:val="24"/>
          <w:lang w:val="en-US" w:eastAsia="zh-CN"/>
        </w:rPr>
        <w:t>1</w:t>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"_Toc435893180"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（二）公共艺术专业课程设置</w:t>
      </w:r>
      <w:r>
        <w:rPr>
          <w:rFonts w:hint="eastAsia" w:ascii="宋体" w:hAnsi="宋体" w:eastAsia="宋体" w:cs="宋体"/>
          <w:sz w:val="24"/>
          <w:szCs w:val="24"/>
        </w:rPr>
        <w:tab/>
      </w:r>
      <w:r>
        <w:rPr>
          <w:rFonts w:hint="eastAsia" w:ascii="宋体" w:hAnsi="宋体" w:eastAsia="宋体" w:cs="宋体"/>
          <w:sz w:val="24"/>
          <w:szCs w:val="24"/>
          <w:lang w:val="en-US" w:eastAsia="zh-CN"/>
        </w:rPr>
        <w:t>1</w:t>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"_Toc435893181"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（三）公共艺术专业实践环节</w:t>
      </w:r>
      <w:r>
        <w:rPr>
          <w:rFonts w:hint="eastAsia" w:ascii="宋体" w:hAnsi="宋体" w:eastAsia="宋体" w:cs="宋体"/>
          <w:sz w:val="24"/>
          <w:szCs w:val="24"/>
        </w:rPr>
        <w:tab/>
      </w:r>
      <w:r>
        <w:rPr>
          <w:rFonts w:hint="eastAsia" w:ascii="宋体" w:hAnsi="宋体" w:eastAsia="宋体" w:cs="宋体"/>
          <w:sz w:val="24"/>
          <w:szCs w:val="24"/>
          <w:lang w:val="en-US" w:eastAsia="zh-CN"/>
        </w:rPr>
        <w:t>2</w:t>
      </w:r>
      <w:r>
        <w:rPr>
          <w:rFonts w:hint="eastAsia" w:ascii="宋体" w:hAnsi="宋体" w:eastAsia="宋体" w:cs="宋体"/>
          <w:sz w:val="24"/>
          <w:szCs w:val="24"/>
        </w:rPr>
        <w:fldChar w:fldCharType="end"/>
      </w:r>
    </w:p>
    <w:p>
      <w:pPr>
        <w:pStyle w:val="7"/>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"_Toc435893182"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二、公共艺术专业定位与培养方案</w:t>
      </w:r>
      <w:r>
        <w:rPr>
          <w:rFonts w:hint="eastAsia" w:ascii="宋体" w:hAnsi="宋体" w:eastAsia="宋体" w:cs="宋体"/>
          <w:sz w:val="24"/>
          <w:szCs w:val="24"/>
        </w:rPr>
        <w:tab/>
      </w:r>
      <w:r>
        <w:rPr>
          <w:rFonts w:hint="eastAsia" w:ascii="宋体" w:hAnsi="宋体" w:eastAsia="宋体" w:cs="宋体"/>
          <w:sz w:val="24"/>
          <w:szCs w:val="24"/>
          <w:lang w:val="en-US" w:eastAsia="zh-CN"/>
        </w:rPr>
        <w:t>2</w:t>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"_Toc435893183"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（一）公共艺术专业建设中长期发展规划</w:t>
      </w:r>
      <w:r>
        <w:rPr>
          <w:rFonts w:hint="eastAsia" w:ascii="宋体" w:hAnsi="宋体" w:eastAsia="宋体" w:cs="宋体"/>
          <w:sz w:val="24"/>
          <w:szCs w:val="24"/>
        </w:rPr>
        <w:tab/>
      </w:r>
      <w:r>
        <w:rPr>
          <w:rFonts w:hint="eastAsia" w:ascii="宋体" w:hAnsi="宋体" w:eastAsia="宋体" w:cs="宋体"/>
          <w:sz w:val="24"/>
          <w:szCs w:val="24"/>
          <w:lang w:val="en-US" w:eastAsia="zh-CN"/>
        </w:rPr>
        <w:t>2</w:t>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"_Toc435893184"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（二）公共艺术专业结构调整</w:t>
      </w:r>
      <w:r>
        <w:rPr>
          <w:rFonts w:hint="eastAsia" w:ascii="宋体" w:hAnsi="宋体" w:eastAsia="宋体" w:cs="宋体"/>
          <w:sz w:val="24"/>
          <w:szCs w:val="24"/>
        </w:rPr>
        <w:tab/>
      </w:r>
      <w:r>
        <w:rPr>
          <w:rFonts w:hint="eastAsia" w:ascii="宋体" w:hAnsi="宋体" w:eastAsia="宋体" w:cs="宋体"/>
          <w:sz w:val="24"/>
          <w:szCs w:val="24"/>
          <w:lang w:val="en-US" w:eastAsia="zh-CN"/>
        </w:rPr>
        <w:t>2</w:t>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"_Toc435893185"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（三）公共艺术专业在区域经济社会发展需求中的定位</w:t>
      </w:r>
      <w:r>
        <w:rPr>
          <w:rFonts w:hint="eastAsia" w:ascii="宋体" w:hAnsi="宋体" w:eastAsia="宋体" w:cs="宋体"/>
          <w:sz w:val="24"/>
          <w:szCs w:val="24"/>
        </w:rPr>
        <w:tab/>
      </w:r>
      <w:r>
        <w:rPr>
          <w:rFonts w:hint="eastAsia" w:ascii="宋体" w:hAnsi="宋体" w:eastAsia="宋体" w:cs="宋体"/>
          <w:sz w:val="24"/>
          <w:szCs w:val="24"/>
          <w:lang w:val="en-US" w:eastAsia="zh-CN"/>
        </w:rPr>
        <w:t>2</w:t>
      </w:r>
      <w:r>
        <w:rPr>
          <w:rFonts w:hint="eastAsia" w:ascii="宋体" w:hAnsi="宋体" w:eastAsia="宋体" w:cs="宋体"/>
          <w:sz w:val="24"/>
          <w:szCs w:val="24"/>
        </w:rPr>
        <w:fldChar w:fldCharType="end"/>
      </w:r>
    </w:p>
    <w:p>
      <w:pPr>
        <w:pStyle w:val="7"/>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firstLine="315" w:firstLineChars="15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"_Toc435893186"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（四）公共艺术专业人才培养目标、培养方案</w:t>
      </w:r>
      <w:r>
        <w:rPr>
          <w:rFonts w:hint="eastAsia" w:ascii="宋体" w:hAnsi="宋体" w:eastAsia="宋体" w:cs="宋体"/>
          <w:sz w:val="24"/>
          <w:szCs w:val="24"/>
        </w:rPr>
        <w:tab/>
      </w:r>
      <w:r>
        <w:rPr>
          <w:rFonts w:hint="eastAsia" w:ascii="宋体" w:hAnsi="宋体" w:eastAsia="宋体" w:cs="宋体"/>
          <w:sz w:val="24"/>
          <w:szCs w:val="24"/>
          <w:lang w:val="en-US" w:eastAsia="zh-CN"/>
        </w:rPr>
        <w:t>4</w:t>
      </w:r>
      <w:r>
        <w:rPr>
          <w:rFonts w:hint="eastAsia" w:ascii="宋体" w:hAnsi="宋体" w:eastAsia="宋体" w:cs="宋体"/>
          <w:sz w:val="24"/>
          <w:szCs w:val="24"/>
        </w:rPr>
        <w:fldChar w:fldCharType="end"/>
      </w:r>
    </w:p>
    <w:p>
      <w:pPr>
        <w:pStyle w:val="7"/>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"_Toc435893187"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三、公共艺术专业师资队伍</w:t>
      </w:r>
      <w:r>
        <w:rPr>
          <w:rFonts w:hint="eastAsia" w:ascii="宋体" w:hAnsi="宋体" w:eastAsia="宋体" w:cs="宋体"/>
          <w:sz w:val="24"/>
          <w:szCs w:val="24"/>
        </w:rPr>
        <w:tab/>
      </w:r>
      <w:r>
        <w:rPr>
          <w:rFonts w:hint="eastAsia" w:ascii="宋体" w:hAnsi="宋体" w:eastAsia="宋体" w:cs="宋体"/>
          <w:sz w:val="24"/>
          <w:szCs w:val="24"/>
          <w:lang w:val="en-US" w:eastAsia="zh-CN"/>
        </w:rPr>
        <w:t>5</w:t>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"_Toc435893188"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（一）公共艺术专业师资队伍结构</w:t>
      </w:r>
      <w:r>
        <w:rPr>
          <w:rFonts w:hint="eastAsia" w:ascii="宋体" w:hAnsi="宋体" w:eastAsia="宋体" w:cs="宋体"/>
          <w:sz w:val="24"/>
          <w:szCs w:val="24"/>
        </w:rPr>
        <w:tab/>
      </w:r>
      <w:r>
        <w:rPr>
          <w:rFonts w:hint="eastAsia" w:ascii="宋体" w:hAnsi="宋体" w:eastAsia="宋体" w:cs="宋体"/>
          <w:sz w:val="24"/>
          <w:szCs w:val="24"/>
          <w:lang w:val="en-US" w:eastAsia="zh-CN"/>
        </w:rPr>
        <w:t>5</w:t>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"_Toc435893189"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（二）专业开设以来引进教师情况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_Toc435893189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"_Toc435893190"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（三）教师行业进修培训情况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_Toc435893190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"_Toc435893191"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（四）高职称教师授课情况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_Toc435893191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"_Toc435893192"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（五）专任教师科研状况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_Toc435893192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7"/>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"_Toc435893193"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四、公共艺术专业的教学基本条件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_Toc435893193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"_Toc435893194"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（一）公共艺术专业建设经费投入情况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_Toc435893194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"_Toc435893195"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（二）</w:t>
      </w:r>
      <w:r>
        <w:rPr>
          <w:rFonts w:hint="eastAsia" w:ascii="宋体" w:hAnsi="宋体" w:eastAsia="宋体" w:cs="宋体"/>
          <w:snapToGrid w:val="0"/>
          <w:sz w:val="24"/>
          <w:szCs w:val="24"/>
        </w:rPr>
        <w:t>教学实验用房、教学实验仪器设备、校外实习实践基地建设及利用情况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_Toc435893195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7"/>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"_Toc435893196"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五、公共艺术专业教学质量保障</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_Toc435893196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"_Toc435893197"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（一）公共艺术专业教学质量保证具体工作</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_Toc435893197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"_Toc435893198"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（二）公共艺术专业日常教学质量管理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_Toc435893198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"_Toc435893196" </w:instrText>
      </w:r>
      <w:r>
        <w:rPr>
          <w:rFonts w:hint="eastAsia" w:ascii="宋体" w:hAnsi="宋体" w:eastAsia="宋体" w:cs="宋体"/>
          <w:sz w:val="24"/>
          <w:szCs w:val="24"/>
        </w:rPr>
        <w:fldChar w:fldCharType="separate"/>
      </w:r>
      <w:r>
        <w:rPr>
          <w:rFonts w:hint="eastAsia" w:ascii="宋体" w:hAnsi="宋体" w:eastAsia="宋体" w:cs="宋体"/>
          <w:sz w:val="24"/>
          <w:szCs w:val="24"/>
        </w:rPr>
        <w:t>（三）教学质量评估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_Toc435893196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"_Toc435893198" </w:instrText>
      </w:r>
      <w:r>
        <w:rPr>
          <w:rFonts w:hint="eastAsia" w:ascii="宋体" w:hAnsi="宋体" w:eastAsia="宋体" w:cs="宋体"/>
          <w:sz w:val="24"/>
          <w:szCs w:val="24"/>
        </w:rPr>
        <w:fldChar w:fldCharType="separate"/>
      </w:r>
      <w:r>
        <w:rPr>
          <w:rFonts w:hint="eastAsia" w:ascii="宋体" w:hAnsi="宋体" w:eastAsia="宋体" w:cs="宋体"/>
          <w:sz w:val="24"/>
          <w:szCs w:val="24"/>
        </w:rPr>
        <w:t>（四）学生学习效果分析机制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_Toc435893198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7"/>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color w:val="000000" w:themeColor="text1"/>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"_Toc435893196"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六、公共艺术专业教学质量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_Toc435893196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\l "_Toc435893198"</w:instrText>
      </w:r>
      <w:r>
        <w:rPr>
          <w:rFonts w:hint="eastAsia" w:ascii="宋体" w:hAnsi="宋体" w:eastAsia="宋体" w:cs="宋体"/>
          <w:sz w:val="24"/>
          <w:szCs w:val="24"/>
        </w:rPr>
        <w:fldChar w:fldCharType="separate"/>
      </w:r>
    </w:p>
    <w:p>
      <w:pPr>
        <w:pStyle w:val="7"/>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firstLine="315" w:firstLineChars="150"/>
        <w:jc w:val="both"/>
        <w:textAlignment w:val="auto"/>
        <w:outlineLvl w:val="9"/>
        <w:rPr>
          <w:rFonts w:hint="eastAsia" w:ascii="宋体" w:hAnsi="宋体" w:eastAsia="宋体" w:cs="宋体"/>
          <w:color w:val="000000" w:themeColor="text1"/>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"_Toc435893196" </w:instrText>
      </w:r>
      <w:r>
        <w:rPr>
          <w:rFonts w:hint="eastAsia" w:ascii="宋体" w:hAnsi="宋体" w:eastAsia="宋体" w:cs="宋体"/>
          <w:sz w:val="24"/>
          <w:szCs w:val="24"/>
        </w:rPr>
        <w:fldChar w:fldCharType="separate"/>
      </w:r>
      <w:r>
        <w:rPr>
          <w:rStyle w:val="11"/>
          <w:rFonts w:hint="eastAsia" w:ascii="宋体" w:hAnsi="宋体" w:eastAsia="宋体" w:cs="宋体"/>
          <w:color w:val="000000" w:themeColor="text1"/>
          <w:sz w:val="24"/>
          <w:szCs w:val="24"/>
          <w:u w:val="none"/>
        </w:rPr>
        <w:t>（一）</w:t>
      </w:r>
      <w:r>
        <w:rPr>
          <w:rFonts w:hint="eastAsia" w:ascii="宋体" w:hAnsi="宋体" w:eastAsia="宋体" w:cs="宋体"/>
          <w:sz w:val="24"/>
          <w:szCs w:val="24"/>
        </w:rPr>
        <w:t>以赛带教，以赛促学强化人才培养质量</w:t>
      </w:r>
      <w:r>
        <w:rPr>
          <w:rFonts w:hint="eastAsia" w:ascii="宋体" w:hAnsi="宋体" w:eastAsia="宋体" w:cs="宋体"/>
          <w:color w:val="000000" w:themeColor="text1"/>
          <w:sz w:val="24"/>
          <w:szCs w:val="24"/>
        </w:rPr>
        <w:tab/>
      </w:r>
      <w:r>
        <w:rPr>
          <w:rFonts w:hint="eastAsia" w:ascii="宋体" w:hAnsi="宋体" w:eastAsia="宋体" w:cs="宋体"/>
          <w:color w:val="000000" w:themeColor="text1"/>
          <w:sz w:val="24"/>
          <w:szCs w:val="24"/>
        </w:rPr>
        <w:fldChar w:fldCharType="begin"/>
      </w:r>
      <w:r>
        <w:rPr>
          <w:rFonts w:hint="eastAsia" w:ascii="宋体" w:hAnsi="宋体" w:eastAsia="宋体" w:cs="宋体"/>
          <w:color w:val="000000" w:themeColor="text1"/>
          <w:sz w:val="24"/>
          <w:szCs w:val="24"/>
        </w:rPr>
        <w:instrText xml:space="preserve"> PAGEREF _Toc435893196 \h </w:instrText>
      </w:r>
      <w:r>
        <w:rPr>
          <w:rFonts w:hint="eastAsia" w:ascii="宋体" w:hAnsi="宋体" w:eastAsia="宋体" w:cs="宋体"/>
          <w:color w:val="000000" w:themeColor="text1"/>
          <w:sz w:val="24"/>
          <w:szCs w:val="24"/>
        </w:rPr>
        <w:fldChar w:fldCharType="separate"/>
      </w:r>
      <w:r>
        <w:rPr>
          <w:rFonts w:hint="eastAsia" w:ascii="宋体" w:hAnsi="宋体" w:eastAsia="宋体" w:cs="宋体"/>
          <w:color w:val="000000" w:themeColor="text1"/>
          <w:sz w:val="24"/>
          <w:szCs w:val="24"/>
        </w:rPr>
        <w:t>7</w:t>
      </w:r>
      <w:r>
        <w:rPr>
          <w:rFonts w:hint="eastAsia" w:ascii="宋体" w:hAnsi="宋体" w:eastAsia="宋体" w:cs="宋体"/>
          <w:color w:val="000000" w:themeColor="text1"/>
          <w:sz w:val="24"/>
          <w:szCs w:val="24"/>
        </w:rPr>
        <w:fldChar w:fldCharType="end"/>
      </w:r>
      <w:r>
        <w:rPr>
          <w:rFonts w:hint="eastAsia" w:ascii="宋体" w:hAnsi="宋体" w:eastAsia="宋体" w:cs="宋体"/>
          <w:color w:val="000000" w:themeColor="text1"/>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"_Toc435893198" </w:instrText>
      </w:r>
      <w:r>
        <w:rPr>
          <w:rFonts w:hint="eastAsia" w:ascii="宋体" w:hAnsi="宋体" w:eastAsia="宋体" w:cs="宋体"/>
          <w:sz w:val="24"/>
          <w:szCs w:val="24"/>
        </w:rPr>
        <w:fldChar w:fldCharType="separate"/>
      </w:r>
      <w:r>
        <w:rPr>
          <w:rStyle w:val="11"/>
          <w:rFonts w:hint="eastAsia" w:ascii="宋体" w:hAnsi="宋体" w:eastAsia="宋体" w:cs="宋体"/>
          <w:color w:val="000000" w:themeColor="text1"/>
          <w:sz w:val="24"/>
          <w:szCs w:val="24"/>
          <w:u w:val="none"/>
        </w:rPr>
        <w:t>（二）</w:t>
      </w:r>
      <w:r>
        <w:rPr>
          <w:rFonts w:hint="eastAsia" w:ascii="宋体" w:hAnsi="宋体" w:eastAsia="宋体" w:cs="宋体"/>
          <w:sz w:val="24"/>
          <w:szCs w:val="24"/>
        </w:rPr>
        <w:t>以实践教学拓展行业项目，打造人才培养平台</w:t>
      </w:r>
      <w:r>
        <w:rPr>
          <w:rFonts w:hint="eastAsia" w:ascii="宋体" w:hAnsi="宋体" w:eastAsia="宋体" w:cs="宋体"/>
          <w:color w:val="000000" w:themeColor="text1"/>
          <w:sz w:val="24"/>
          <w:szCs w:val="24"/>
        </w:rPr>
        <w:tab/>
      </w:r>
      <w:r>
        <w:rPr>
          <w:rFonts w:hint="eastAsia" w:ascii="宋体" w:hAnsi="宋体" w:eastAsia="宋体" w:cs="宋体"/>
          <w:color w:val="000000" w:themeColor="text1"/>
          <w:sz w:val="24"/>
          <w:szCs w:val="24"/>
        </w:rPr>
        <w:fldChar w:fldCharType="begin"/>
      </w:r>
      <w:r>
        <w:rPr>
          <w:rFonts w:hint="eastAsia" w:ascii="宋体" w:hAnsi="宋体" w:eastAsia="宋体" w:cs="宋体"/>
          <w:color w:val="000000" w:themeColor="text1"/>
          <w:sz w:val="24"/>
          <w:szCs w:val="24"/>
        </w:rPr>
        <w:instrText xml:space="preserve"> PAGEREF _Toc435893198 \h </w:instrText>
      </w:r>
      <w:r>
        <w:rPr>
          <w:rFonts w:hint="eastAsia" w:ascii="宋体" w:hAnsi="宋体" w:eastAsia="宋体" w:cs="宋体"/>
          <w:color w:val="000000" w:themeColor="text1"/>
          <w:sz w:val="24"/>
          <w:szCs w:val="24"/>
        </w:rPr>
        <w:fldChar w:fldCharType="separate"/>
      </w:r>
      <w:r>
        <w:rPr>
          <w:rFonts w:hint="eastAsia" w:ascii="宋体" w:hAnsi="宋体" w:eastAsia="宋体" w:cs="宋体"/>
          <w:color w:val="000000" w:themeColor="text1"/>
          <w:sz w:val="24"/>
          <w:szCs w:val="24"/>
        </w:rPr>
        <w:t>7</w:t>
      </w:r>
      <w:r>
        <w:rPr>
          <w:rFonts w:hint="eastAsia" w:ascii="宋体" w:hAnsi="宋体" w:eastAsia="宋体" w:cs="宋体"/>
          <w:color w:val="000000" w:themeColor="text1"/>
          <w:sz w:val="24"/>
          <w:szCs w:val="24"/>
        </w:rPr>
        <w:fldChar w:fldCharType="end"/>
      </w:r>
      <w:r>
        <w:rPr>
          <w:rFonts w:hint="eastAsia" w:ascii="宋体" w:hAnsi="宋体" w:eastAsia="宋体" w:cs="宋体"/>
          <w:color w:val="000000" w:themeColor="text1"/>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left="420" w:leftChars="0" w:right="111" w:rightChars="53" w:hanging="420" w:hanging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end"/>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"_Toc435893196"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七、公共艺术专业需要解决的问题</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_Toc435893196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"_Toc435893197"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（一）突出问题</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_Toc435893197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8"/>
        <w:keepNext w:val="0"/>
        <w:keepLines w:val="0"/>
        <w:pageBreakBefore w:val="0"/>
        <w:widowControl w:val="0"/>
        <w:tabs>
          <w:tab w:val="right" w:leader="dot" w:pos="8820"/>
        </w:tabs>
        <w:kinsoku/>
        <w:wordWrap/>
        <w:overflowPunct/>
        <w:topLinePunct w:val="0"/>
        <w:autoSpaceDE/>
        <w:autoSpaceDN/>
        <w:bidi w:val="0"/>
        <w:adjustRightInd/>
        <w:snapToGrid/>
        <w:spacing w:line="240" w:lineRule="auto"/>
        <w:ind w:right="111" w:rightChars="5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"_Toc435893198"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（二）解决措施</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_Toc435893198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sectPr>
          <w:pgSz w:w="11906" w:h="16838"/>
          <w:pgMar w:top="1417" w:right="1587" w:bottom="1417" w:left="1587" w:header="851" w:footer="0" w:gutter="0"/>
          <w:cols w:space="0" w:num="1"/>
          <w:titlePg/>
          <w:rtlGutter w:val="0"/>
          <w:docGrid w:linePitch="312" w:charSpace="0"/>
        </w:sectPr>
      </w:pPr>
    </w:p>
    <w:p>
      <w:pPr>
        <w:spacing w:line="240" w:lineRule="auto"/>
        <w:jc w:val="both"/>
        <w:rPr>
          <w:rFonts w:hint="eastAsia" w:ascii="黑体" w:hAnsi="黑体" w:eastAsia="黑体" w:cs="黑体"/>
          <w:b w:val="0"/>
          <w:bCs w:val="0"/>
          <w:snapToGrid w:val="0"/>
          <w:sz w:val="30"/>
          <w:szCs w:val="30"/>
        </w:rPr>
      </w:pPr>
      <w:r>
        <w:rPr>
          <w:rFonts w:hint="eastAsia" w:ascii="宋体" w:hAnsi="宋体" w:cs="宋体"/>
          <w:szCs w:val="36"/>
        </w:rPr>
        <w:fldChar w:fldCharType="end"/>
      </w:r>
      <w:r>
        <w:rPr>
          <w:rFonts w:hint="eastAsia" w:ascii="黑体" w:hAnsi="黑体" w:eastAsia="黑体" w:cs="黑体"/>
          <w:b w:val="0"/>
          <w:bCs w:val="0"/>
          <w:snapToGrid w:val="0"/>
          <w:sz w:val="30"/>
          <w:szCs w:val="30"/>
        </w:rPr>
        <w:t>一、公共艺术专业建设基本情况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根据《西安文理学院“十二五”发展规划》所制定的学科专业思路：文理为基、工管为重，扶持符合地方经济社会发展的新专业。我校将以特色优势学科建设为引领，制定学科专业建设规划，调整优化现有专业，在新学科专业目录调整背景下，通过发展公共艺术新专业，带动美术学、设计学等相关专业学科的改造优化。</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（一）公共艺术专业建设背景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公共艺术”是随着现代城市建设进程而产生的新名词及新的艺术学科，是随着城市的建设发展、新科学技术及新材料的应用而更新进步，是以人为核心、以公共环境和公共设施为依托、以综合媒材形式为载体的艺术形态。依据其文化形态的边缘性、综合性的特点，在知识结构和课程的组建上从对西方美学语境的学习、对中国本土文化的探讨、创意思维、材料语言表现和技巧等方面进行综合性、立体性的学习与研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培养公共艺术人才，已经成为当今社会发展的需要。目前我国的许多艺术院校已开设了公共艺术课程。而我校公共艺术专业的成立，将视觉传达专业下设的陶瓷艺术、纤维艺术专业方向合并为“雕塑与陶瓷” “壁画与材料”两个专业方向。重新定位了专业方向，整合了专业面过窄的学科专业，调整了结构性过剩学科专业。</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（二）公共艺术专业课程设置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我校公共艺术专业教学注重当代艺术观念和新兴艺术手段的学习和训练。教学中设立“平面造型”、“空间造型设计”、“新媒体艺术”、“总体艺术与策划”四大板块的课程。培养学生成为具有扎实的造型能力、广阔的当代艺术视野与观念，以及较强的艺术活动组织能力的艺术工作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课程主要有：造型基础、表现基础、人物写生、色彩基础、设计概论、色彩表现、设计基础、中国民间美术、中国美术史、西方美术史、摄影、染缬技术、外国设计述评、公共艺术概论、公共艺术与城市文化、公共空间展示与设计、当代艺术观念与实践、公共艺术调研与设计、数字图像技术、陶瓷工艺学、材料与空构成、公共空间雕塑设计、陶瓷雕塑表现、油画技法、纤维艺术、工笔技法、版画技法、写意技法、壁画表现、壁画临摹、综合绘画、现代艺术导论、丝网印技术、专业写生、学年专业综合实践、行业考察、毕业采风、毕业（论文）设计等课程。</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（三）公共艺术专业实践环节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出于对应用型人才培养和学生职业生涯的需要，实践教学是应用型人才培养模式的重要一环。在形成相对比较完整的、由课内实践环节、课外实践环节和校外实践环节组成的实践教学体系的前提与基础上，主要切实解决校企合作与工学结合问题。其关键点是要注重和实行知行统一，即理论教学与实践动手之间的有机结合。同时，在校内要大力加强实验、实习、毕业设计（论文）和社会实践等实践性教学环节，提高实践教学在人才培养计划中的比重，进一步完善应用型人才培养的实践教学体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鉴于本专业与社会联系紧密的特点，必须强调社会实践、实训课程，必须加强教学与社会实践的联系。力求在本专业教师的指导下有计划地组织学生将社会需求、个人选题策划与教学内容结合起来，开发项目教学，定向创作研究，以便在实践中提高学生的艺术修养和实际操作能力。本专业主要实践环节包括市场和社会调查、专业考察、毕业实习等</w:t>
      </w:r>
    </w:p>
    <w:p>
      <w:pPr>
        <w:spacing w:line="240" w:lineRule="auto"/>
        <w:jc w:val="both"/>
        <w:rPr>
          <w:rFonts w:hint="eastAsia" w:ascii="黑体" w:hAnsi="黑体" w:eastAsia="黑体" w:cs="黑体"/>
          <w:b w:val="0"/>
          <w:bCs w:val="0"/>
          <w:snapToGrid w:val="0"/>
          <w:sz w:val="30"/>
          <w:szCs w:val="30"/>
        </w:rPr>
      </w:pPr>
      <w:r>
        <w:rPr>
          <w:rFonts w:hint="eastAsia" w:ascii="黑体" w:hAnsi="黑体" w:eastAsia="黑体" w:cs="黑体"/>
          <w:b w:val="0"/>
          <w:bCs w:val="0"/>
          <w:snapToGrid w:val="0"/>
          <w:sz w:val="30"/>
          <w:szCs w:val="30"/>
        </w:rPr>
        <w:t>二、公共艺术专业定位与培养方案</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（一）公共艺术专业建设中长期的发展规划</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本着学院“地方性、应用型”的办学方针，在设立初期就以“地方性”为主导。公共艺术专业方向作为新拓展的专业方向，它秉承我院“厚基础、宽口径”的教学理念，本着高起点、重交流、重文化、重创意、重策划的宗旨，充分利用我院的人力资源，发挥我院综合性大学多学科交叉的优势，积极努力探索适合本专业发展的路子，力求将公共艺术专业方向建成为高水准的教学单位。</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（二）公共艺术专业结构调整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该专业以适应时代对艺术与文化、商业、社区等公共场所充分互动的需求为方向。注重培养掌握公共艺术专业的基本理论、知识和技能，能够从事公共艺术创作，并具备一定的策划、设计以及教学与科研工作能力的复合型、应用型技术人才。</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（三）公共艺术专业在区域经济社会发展需求中的定位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西安作为西部经济、文化较发达城市，对公共艺术有着巨大的社会需求，将会为该专业的发展提供良好的平台。</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1）适应西部发展的客观需要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近年来，公共艺术设计在国际范围内已引起高度重视，成为衡量一个国家和地区先进程度的不可或缺的参照系数。我国改革开放与经济迅猛发展的今天，人们对公共环境中的文化品质有了更高的要求，城市化的扩建改造和国家方针政策的大力支持与财力的增强，客观上给公共艺术发展提供了有力条件和物质保证。大力开发西部地区，迅猛发展的现代化城市建设已经提到了一个新的发展高度。在西部地区的城市中，公共艺术的整体设计水准还十分薄弱，亟待提高，人才欠缺，已成为迫在眉睫的首要任务。</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2）大力发展西部为公共艺术专业带来新的机遇和挑战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依据西部地区的整体发展态势，国家对西部地区的开发建设和相关的政策支持，必将会迎来大量资金的投入，同时，西部地区与全国发达省份相比较，仍然属于欠发达与较为落后的地区，因此，可开发的空间也就相对较大，可发展的前景无论从城市的基础建设，或是城市公共环境艺术规划，都必将迎来前所未有的发展机遇。</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（四）公共艺术专业的人才培养目标、专业培养方案</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1）人才培养目标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公共艺术专业旨在培养具有扎实的专业技能和实践能力，适应于现代社会和地方经济、政治、科技、教育和文化发展需要的应用型人才。培养具有公共艺术专业的基本理论、知识和技能，从事公共艺术创作，具备一定的策划、设计以及教学与科研工作能力的复合型、高素质公共艺术应用型人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该专业所培养的人才具备的能力有：陶瓷礼品、产品、陈设品以及艺术品的设计与制作、公共空间雕塑、陈设品的设计与制作、公共空间壁画的设计与制作。并可从事艺术经营与设计展览策划的技能型人才。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培养的人才就业方向有：艺术设计公司、文化传播公司、陶瓷生产企业、礼品设计公司、装饰公司、陶瓷研究所、市政建设和规划等部门的设计工作。</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2）专业培养方案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第一．正确理解和掌握马列主义文艺理论的基本观点，了解党和国家的有关政策和法规, 热爱社会主义祖国，树立科学的人生观和世界观。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第二．具有较为扎实、系统的专业知识和基本技能，拓展国际化、开放型的视野，关注本专业前沿信息；积极开发利用中国传统文化资源，服务地方经济和文化的发展。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第三．强调应用能力的培养，注重理论联系实际，侧重对学生创造思维、实践能力和动手能力的培养。掌握文献情报检索、计算机应用、信息资料查询的基本方法和知识，并掌握一门外语。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第四．具有健康的体魄、良好的心理素质，交流沟通能力和社会适应能力。培养学生健康良好的人际关系，团结互助，注重相互协作和团队精神的培养。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第五.了解与本专业相关的基本常识、理论知识和技能知识，了解本专业相关的材料与工艺制作等方面的知识；熟悉本专业的多种艺术形式、语言特征和表现方法，熟悉与本专业相关的工艺技能、材料及工艺制作手段；掌握各专业方向所要求的造型能力以及专业方向之间的设计与创意能力；具有较强的独立设计、创意、手工制作及使用相关工艺技术完成公共艺术设计与制作的综合能力。</w:t>
      </w:r>
    </w:p>
    <w:p>
      <w:pPr>
        <w:spacing w:line="240" w:lineRule="auto"/>
        <w:jc w:val="both"/>
        <w:rPr>
          <w:rFonts w:hint="eastAsia" w:ascii="黑体" w:hAnsi="黑体" w:eastAsia="黑体" w:cs="黑体"/>
          <w:b w:val="0"/>
          <w:bCs w:val="0"/>
          <w:snapToGrid w:val="0"/>
          <w:sz w:val="30"/>
          <w:szCs w:val="30"/>
        </w:rPr>
      </w:pPr>
      <w:r>
        <w:rPr>
          <w:rFonts w:hint="eastAsia" w:ascii="黑体" w:hAnsi="黑体" w:eastAsia="黑体" w:cs="黑体"/>
          <w:b w:val="0"/>
          <w:bCs w:val="0"/>
          <w:snapToGrid w:val="0"/>
          <w:sz w:val="30"/>
          <w:szCs w:val="30"/>
        </w:rPr>
        <w:t>三、公共艺术专业师资队伍</w:t>
      </w:r>
      <w:r>
        <w:rPr>
          <w:rFonts w:hint="eastAsia" w:ascii="黑体" w:hAnsi="黑体" w:eastAsia="黑体" w:cs="黑体"/>
          <w:b w:val="0"/>
          <w:bCs w:val="0"/>
          <w:snapToGrid w:val="0"/>
          <w:sz w:val="30"/>
          <w:szCs w:val="30"/>
        </w:rPr>
        <w:tab/>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（一）公共艺术专业师资队伍结构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公共艺术专业师资队伍结构合理，能够满足培养高素质、应用型人才的需要。该专业三年来形成了一支综合素质良好，教学经验丰富、教学水平较高，职称结构、学历结构、年龄结构和行业背景等配置都较为合理的师资队伍。目前该专业现有专职教师12人，教师中33岁1人，35—45岁9人，46—54岁2人，中青年教师占83%；其中副教授3人，讲师9人。副高级职称占25%，中级职称占75%；学科建设的现有专任师资中，学士3名，硕士8名，研究生学历占75%；博士1人，占8%；职称结构分布也较为合理。</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（二）专业开设以来引进教师的情况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公共艺术教研室共12位专业教师，均属我院在职教师，三年来无人才引进，计划17年引进正高职称2名。</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bookmarkStart w:id="0" w:name="_Toc435893184"/>
      <w:r>
        <w:rPr>
          <w:rFonts w:hint="eastAsia" w:ascii="黑体" w:hAnsi="黑体" w:eastAsia="黑体" w:cs="黑体"/>
          <w:b w:val="0"/>
          <w:bCs/>
          <w:sz w:val="28"/>
          <w:szCs w:val="28"/>
        </w:rPr>
        <w:t>（三）教师行业进修培训</w:t>
      </w:r>
      <w:bookmarkEnd w:id="0"/>
      <w:r>
        <w:rPr>
          <w:rFonts w:hint="eastAsia" w:ascii="黑体" w:hAnsi="黑体" w:eastAsia="黑体" w:cs="黑体"/>
          <w:b w:val="0"/>
          <w:bCs/>
          <w:sz w:val="28"/>
          <w:szCs w:val="28"/>
        </w:rPr>
        <w:t>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三年来，为了提升中青年教师的继续教育和知识更新，加强青年骨干教师的培养与培训等措施，促使师资队伍具有较强的教学与专业能力。有两位青年教师于西安美术学院进行了硕士研究生继续教育；2014年教研室主任参加了北京大学美学与美育研究中心创办的高级研讨会顺利结业。</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（四）高职称教师授课的情况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教研室有三位副高职称教师，均带公共艺术专业核心课程，起到了学科带头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表先垂范作用，得到了师生一致好评</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（五）专任教师科研状况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目前，专任教师科研状况包括主持陕西省社会科学基金项目1项、主持校级教改课题4项、参与完成西安市社科基金项目3项、横向课题4项；译著出版85万字的专著三部，发表论文8篇（其中核心2篇）；作品参展获奖8次；获得由国家知识产权局授权的发明专利1项。从科研成果看，目前科研成果的数量逐年上升，但在核心期刊发表的科研成果以及国家级科研成果还有待进一步提高。</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（六）兼职教师情况等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（无）</w:t>
      </w:r>
    </w:p>
    <w:p>
      <w:pPr>
        <w:pStyle w:val="24"/>
        <w:keepNext w:val="0"/>
        <w:keepLines w:val="0"/>
        <w:pageBreakBefore w:val="0"/>
        <w:widowControl w:val="0"/>
        <w:kinsoku/>
        <w:wordWrap/>
        <w:overflowPunct/>
        <w:topLinePunct w:val="0"/>
        <w:autoSpaceDE/>
        <w:autoSpaceDN/>
        <w:bidi w:val="0"/>
        <w:spacing w:before="120" w:after="120" w:line="240" w:lineRule="auto"/>
        <w:ind w:left="0" w:leftChars="0" w:right="0" w:rightChars="0"/>
        <w:textAlignment w:val="auto"/>
        <w:rPr>
          <w:rFonts w:hint="eastAsia" w:ascii="黑体" w:hAnsi="黑体" w:eastAsia="黑体" w:cs="黑体"/>
          <w:b w:val="0"/>
          <w:bCs w:val="0"/>
          <w:snapToGrid w:val="0"/>
          <w:kern w:val="2"/>
          <w:sz w:val="30"/>
          <w:szCs w:val="30"/>
          <w:lang w:val="en-US" w:eastAsia="zh-CN" w:bidi="ar-SA"/>
        </w:rPr>
      </w:pPr>
      <w:r>
        <w:rPr>
          <w:rFonts w:hint="eastAsia" w:ascii="黑体" w:hAnsi="黑体" w:eastAsia="黑体" w:cs="黑体"/>
          <w:b w:val="0"/>
          <w:bCs w:val="0"/>
          <w:snapToGrid w:val="0"/>
          <w:kern w:val="2"/>
          <w:sz w:val="30"/>
          <w:szCs w:val="30"/>
          <w:lang w:val="en-US" w:eastAsia="zh-CN" w:bidi="ar-SA"/>
        </w:rPr>
        <w:t>四、公共艺术专业的教学基本条件</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（一）公共艺术专业建设经费投入情况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公共艺术专业开设以来，专业建设经费投入总计212.43万元；其中设备经费投入共计104.3万元。学校53万元、中央财政96万元，教研室实验用房改造50万元，校外实训基地（汉城湖陶艺体验馆）建设8.43万元，已全部投入使用。</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（二）教学实验用房、教学实验仪器设备、校外实习实践基地建设及利用情况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公共艺术教学实验用房治理楼艺术学院一楼，占地面积为212平方米，有拉坯房、实验教室、烧窑房、设备室、展示室、配釉室等共12间。教学实验用房、教学实验仪器设备供常规教学和项目实践使用，利用率均达到95%以上（教学实验仪器设备包括俩台气窑、俩台电窑，30台拉坯机，电脑12台、练泥机、吹釉机、泥条机、泥板机、磨釉机等）。完备的教学条件保障了教学的正常运行，取得了良好的效果。同时我们的实习、实践、实训基地得到了充分的利用，为该专业学生创造了良好的学习机会，提升了学生的综合素质和应用技能。</w:t>
      </w:r>
    </w:p>
    <w:p>
      <w:pPr>
        <w:spacing w:line="240" w:lineRule="auto"/>
        <w:jc w:val="both"/>
        <w:rPr>
          <w:rFonts w:hint="eastAsia" w:ascii="黑体" w:hAnsi="黑体" w:eastAsia="黑体" w:cs="黑体"/>
          <w:b w:val="0"/>
          <w:bCs w:val="0"/>
          <w:snapToGrid w:val="0"/>
          <w:sz w:val="30"/>
          <w:szCs w:val="30"/>
        </w:rPr>
      </w:pPr>
      <w:r>
        <w:rPr>
          <w:rFonts w:hint="eastAsia" w:ascii="黑体" w:hAnsi="黑体" w:eastAsia="黑体" w:cs="黑体"/>
          <w:b w:val="0"/>
          <w:bCs w:val="0"/>
          <w:snapToGrid w:val="0"/>
          <w:sz w:val="30"/>
          <w:szCs w:val="30"/>
        </w:rPr>
        <w:t>五、公共艺术专业教学质量保障。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公共艺术专业教学质量方针是以提高教育质量求生存，市场需求和时代发展进程为导向，精心培育具有胜任公共空间设计和制作的高级应用型人才，提供令学生、用人单位和社会满意的优质公共艺术设计专业人才。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公共艺术专业教学质量目标是“地方性、应用型、开放式”的办学定位，着力凸显“应用型人才培养”和“服务地方经济社会发展”的办学特色；现录取新生平均报到率≥90%；计划四年的本科教育要做到毕业生平均就业率≥90%，用人单位对毕业生综合评价的称职率≥90%。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bookmarkStart w:id="1" w:name="_Toc435893189"/>
      <w:r>
        <w:rPr>
          <w:rFonts w:hint="eastAsia" w:ascii="黑体" w:hAnsi="黑体" w:eastAsia="黑体" w:cs="黑体"/>
          <w:b w:val="0"/>
          <w:bCs/>
          <w:sz w:val="28"/>
          <w:szCs w:val="28"/>
        </w:rPr>
        <w:t>（一）公共艺术专业教学质量保障具体工作</w:t>
      </w:r>
      <w:bookmarkEnd w:id="1"/>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1)在深入学习、贯彻、落实学校教学质量保障体系的前提下，建立健全公共艺术专业的质量保障组织体系；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2)制定公共艺术专业工作计划及具有可操作性的具体实施方案和有关文件；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3)组织公共艺术专业的教学检查、评估、督导等工作；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4)坚持执行听课制度，并督促、组织实施；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5)建立和完善教学方面的档案管理工作；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6)组织本教研室教师、学生座谈会议、问卷调查等；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7)做好汇总、统计、分析、备案、总结、上报、信息反馈等工作。</w:t>
      </w:r>
      <w:bookmarkStart w:id="2" w:name="_Toc435893190"/>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（二）公共艺术专业日常教学质量管理</w:t>
      </w:r>
      <w:bookmarkEnd w:id="2"/>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1）建立教学检查制度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教研室坚持定期进行教学质量及教学秩序检查，经常了解教学情况，加强教学信息反馈过程的管理。教学检查由教研室统一组织，安排开学前教学准备工作检查、期中教学检查等。检查的方式采取抽查学生作业、召开座谈会、学生问卷调查、检查性听课等。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2）建立听课制度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充分发挥听课制度对提高教学质量的重要作用。设计系主任、教学督导组成员、教研室主任都应定期深入课堂（包括实验、实习、实训课）听课，全面了解教学情况、及时发现和解决存在的问题。教研室组织教师之间互相听课，开展研讨，共同提高教学质量。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3）建立学生评教、教师评学制度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安排每学期末学生对任课教师进行一次普遍评教活动，同时进行教师评学，由艺术学院、公共艺术教研室共同组织，教研室进行数据的汇总、统计与分析，并将结果反馈给教学秘书。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4）学风检查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辅导员与公共艺术教研室要坚持定期进行学风检查，经常了解本专业学生学习纪律、完成课堂课后作业、考风、考纪及主动学习状况，加强对学生学习过程的管理。学风检查由学生工作辅导员统一组织，检查的方式可采取抽查学生作业、召开座谈会、抽查学生出勤情况、抽查学生自习情况等。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5）建立学生教学信息员制度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按年级建立学生教学信息员组织，通过定期召开座谈会、公共艺术专业网留言板等各种渠道听取学生对教学工作意见，及时改进教学。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6）毕业生质量跟踪调查制度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无    （该专业暂无毕业生）</w:t>
      </w:r>
      <w:bookmarkStart w:id="3" w:name="_Toc435893191"/>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（三）教学质量评估</w:t>
      </w:r>
      <w:bookmarkEnd w:id="3"/>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坚持“以评促建，重在建设”的原则，以公共艺术教研室自评为主、学院抽评为辅，注重实效。</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1）教学管理工作质量评估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教研室教学管理水平评估，每年进行两次（每学期一次），由艺术学院统一规划，教研室提出申请，经艺术院审核后，接受评估。评估结果作为评选优秀教研室和教研室主任工作绩效评价的重要参考依据。</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2）教师教学工作考核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教师教学工作考核，是学院对教师教学工作实施的全过程、定量化的检查、考核制度。考核人员包括公共艺术专业教研室主任和各任课教师，考核内容包括课前准备（教案、进度表）、课堂教学、辅导答疑、作业布置评价等环节，考核方式包括定期检查教学日历、教案、讲稿、学生作业，随堂听课，不定期抽查辅导答疑，召开学生座谈会，组织学生评教等。各项检查、考核都要填写量化考核表，期末汇总。</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 xml:space="preserve">3）专业评估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开展以公共艺术专业教研室自评为主、学院抽评为辅的专业评估，初步构建与省级、国家级试点专业、精品专业评审接轨的以评促建机制。</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 xml:space="preserve">4）学生学业质量测评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主要包括：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（1）试题的科学化和规范化、试题分析；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（2）课程结业考试、期中及平时考查(测验、作业等)；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（3）实习实训考核和其他教学实践环节的考核。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（4）毕业论文（设计）考评和实践技能考核。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bookmarkStart w:id="4" w:name="_Toc435893192"/>
      <w:r>
        <w:rPr>
          <w:rFonts w:hint="eastAsia" w:ascii="黑体" w:hAnsi="黑体" w:eastAsia="黑体" w:cs="黑体"/>
          <w:b w:val="0"/>
          <w:bCs/>
          <w:sz w:val="28"/>
          <w:szCs w:val="28"/>
        </w:rPr>
        <w:t>（四）学生学习效果的分析机制</w:t>
      </w:r>
      <w:bookmarkEnd w:id="4"/>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学生的学习效果是教师教学质量、学校学风学貌、学生学习态度的直接反应。为加强本专业大学生的培养、加强课程建设、提高教育教学质量、强化学生学习状态，我校根据教学特点建立适合学科建设的学生学习效果的分析机制。主要采用问卷调查、试卷分析、督导听课总结、教师课程小结、实践教学（课程设计）效果分析等一系列分析机制进行学生学习效果分析。</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1）问卷调查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为了不断提高课堂教育教学质量、详实掌握学生的学习效果，促进学生学风评价的科学化、标准化、规范化，为教学研究、教学评价提供反馈信息，我校制定了《西安文理学院教师教学质量评价表》Ⅰ，由评估小组对任课教师进行评价。学生按照《西安文理学院课堂教学评价表》Ⅱ内容对教师进行评价，按照教学内容的难易程度、教育方法等共计10个指标进行评价。</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2）试卷分析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为了加强课程建设、提高学生培养质量，完善学生考试及教师评价系统，我校制订了《艺术学院期末考试工作管理规定》，明确规定任课教师在课程教学工作结束后，任课教师要对试卷进行质量分析，总结教学经验，研究教学中存在的问题，提出改进教学的意见和措施。内容包括试卷的覆盖面、难度、试卷卷面成绩分布情况和试卷质量综合分析几部分。</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3）教学质量总结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为加强教学工作的系统性、规范化，每学期任课教师在期中撰写中期总结，期末撰写年终总结，并交学院办公室。内容包括授课情况、课程调整和改进，同行听课互相促进，教学和科研取得的经验，存在的问题和改进措施等几个方面。在中期和年终两次总结保证教学及其他工作在保证质量、按时进行的基础上有所提高。</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4）领导、督导听课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为不断提高教师教学水平、加强对教师专业素质的培养与指导、增强课堂教育教学效果，我校制定《艺术学院教学督导工作职责》，规定督导每学期必须深入课堂，听取教师讲课，并定期上交听课记录，听课记录包括教师的仪表仪态、教育效果、学生听课情况、教学互动情况等几个方面，并将听课情况记录反馈给教务系统以及任课教师。</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5）实践环节展示与评价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公共艺术专业具有很强的实践性，为此学校、学院十分重视学生的实践质量。对学生实践环节的质量分析主要根据学生对实践环节的反馈结果。在实践环节结束后，按照实践内容，进行实践课程汇报，邀请院级领导及教研室的专业专职教师参与评价。根据学生汇报的内容和实践呈现出来的作品完整度分析实践环节的效果。</w:t>
      </w:r>
    </w:p>
    <w:p>
      <w:pPr>
        <w:pStyle w:val="24"/>
        <w:keepNext w:val="0"/>
        <w:keepLines w:val="0"/>
        <w:pageBreakBefore w:val="0"/>
        <w:widowControl w:val="0"/>
        <w:kinsoku/>
        <w:wordWrap/>
        <w:overflowPunct/>
        <w:topLinePunct w:val="0"/>
        <w:autoSpaceDE/>
        <w:autoSpaceDN/>
        <w:bidi w:val="0"/>
        <w:spacing w:before="120" w:after="120" w:line="240" w:lineRule="auto"/>
        <w:ind w:left="0" w:leftChars="0" w:right="0" w:rightChars="0"/>
        <w:textAlignment w:val="auto"/>
        <w:rPr>
          <w:rFonts w:hint="eastAsia" w:ascii="黑体" w:hAnsi="黑体" w:eastAsia="黑体" w:cs="黑体"/>
          <w:b w:val="0"/>
          <w:bCs w:val="0"/>
          <w:snapToGrid w:val="0"/>
          <w:kern w:val="2"/>
          <w:sz w:val="30"/>
          <w:szCs w:val="30"/>
          <w:lang w:val="en-US" w:eastAsia="zh-CN" w:bidi="ar-SA"/>
        </w:rPr>
      </w:pPr>
      <w:bookmarkStart w:id="5" w:name="_Toc435893193"/>
      <w:r>
        <w:rPr>
          <w:rFonts w:hint="eastAsia" w:ascii="黑体" w:hAnsi="黑体" w:eastAsia="黑体" w:cs="黑体"/>
          <w:b w:val="0"/>
          <w:bCs w:val="0"/>
          <w:snapToGrid w:val="0"/>
          <w:kern w:val="2"/>
          <w:sz w:val="30"/>
          <w:szCs w:val="30"/>
          <w:lang w:val="en-US" w:eastAsia="zh-CN" w:bidi="ar-SA"/>
        </w:rPr>
        <w:t>六、公共艺术专业教学质量</w:t>
      </w:r>
      <w:bookmarkEnd w:id="5"/>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bookmarkStart w:id="6" w:name="_Toc435893194"/>
      <w:r>
        <w:rPr>
          <w:rFonts w:hint="eastAsia" w:ascii="黑体" w:hAnsi="黑体" w:eastAsia="黑体" w:cs="黑体"/>
          <w:b w:val="0"/>
          <w:bCs/>
          <w:sz w:val="28"/>
          <w:szCs w:val="28"/>
        </w:rPr>
        <w:t>（一）以赛带教，以赛促学强化人才培养质量</w:t>
      </w:r>
      <w:bookmarkEnd w:id="6"/>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艺术学院高度重视公共艺术专业学生的专业素养和综合素质培养，呈现出学科、专业、课程一体化的良好势头。由专业教研室组织学生参加的国内知名竞赛，如中国大学生艺术节学院奖，大学生艺术节大赛，以及中国环境与健康宣传周的比赛，每一次都进行精心的赛前准备，赛中指导，以及赛后评论的方式，使学生在学中做，在做中反思，通过专业建设以来历年的反映，以比赛促进教学的方式能使学生的创意思维更加开拓。</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bookmarkStart w:id="7" w:name="_Toc435893195"/>
      <w:r>
        <w:rPr>
          <w:rFonts w:hint="eastAsia" w:ascii="黑体" w:hAnsi="黑体" w:eastAsia="黑体" w:cs="黑体"/>
          <w:b w:val="0"/>
          <w:bCs/>
          <w:sz w:val="28"/>
          <w:szCs w:val="28"/>
        </w:rPr>
        <w:t>（二）以实践教学拓展行业项目，打造人才培养平台</w:t>
      </w:r>
      <w:bookmarkEnd w:id="7"/>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前几届陶艺学生参加行业或政府举办的各类大赛方面均取得了良好的成绩。公共艺术教研室多次组织学生进行项目教学，有汉城湖《汉武士雕塑》设计与制作、延安大学医学院《南丁格尔雕像》、校园雕塑《华晨月夕雕塑》制作等均以实践教学完成快了教学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除此之外，项目植入课程去培养学生综合素质的提高，起到了良性循环的作用，专业建设以来学生独立完成或参与完成的行业实际项目5项，其中包括学生在完成企业实际项目的同时，还根据项目本身进一步拓展为大学生创新创业计划训练项目。</w:t>
      </w:r>
    </w:p>
    <w:p>
      <w:pPr>
        <w:pStyle w:val="24"/>
        <w:keepNext w:val="0"/>
        <w:keepLines w:val="0"/>
        <w:pageBreakBefore w:val="0"/>
        <w:widowControl w:val="0"/>
        <w:kinsoku/>
        <w:wordWrap/>
        <w:overflowPunct/>
        <w:topLinePunct w:val="0"/>
        <w:autoSpaceDE/>
        <w:autoSpaceDN/>
        <w:bidi w:val="0"/>
        <w:spacing w:before="120" w:after="120" w:line="240" w:lineRule="auto"/>
        <w:ind w:left="0" w:leftChars="0" w:right="0" w:rightChars="0"/>
        <w:textAlignment w:val="auto"/>
        <w:rPr>
          <w:rFonts w:hint="eastAsia" w:ascii="黑体" w:hAnsi="黑体" w:eastAsia="黑体" w:cs="黑体"/>
          <w:b w:val="0"/>
          <w:bCs w:val="0"/>
          <w:snapToGrid w:val="0"/>
          <w:kern w:val="2"/>
          <w:sz w:val="30"/>
          <w:szCs w:val="30"/>
          <w:lang w:val="en-US" w:eastAsia="zh-CN" w:bidi="ar-SA"/>
        </w:rPr>
      </w:pPr>
      <w:bookmarkStart w:id="8" w:name="_Toc391190613"/>
      <w:bookmarkStart w:id="9" w:name="_Toc435893196"/>
      <w:r>
        <w:rPr>
          <w:rFonts w:hint="eastAsia" w:ascii="黑体" w:hAnsi="黑体" w:eastAsia="黑体" w:cs="黑体"/>
          <w:b w:val="0"/>
          <w:bCs w:val="0"/>
          <w:snapToGrid w:val="0"/>
          <w:kern w:val="2"/>
          <w:sz w:val="30"/>
          <w:szCs w:val="30"/>
          <w:lang w:val="en-US" w:eastAsia="zh-CN" w:bidi="ar-SA"/>
        </w:rPr>
        <w:t>七、公共艺术专业目前存在的突出问题与</w:t>
      </w:r>
      <w:bookmarkEnd w:id="8"/>
      <w:r>
        <w:rPr>
          <w:rFonts w:hint="eastAsia" w:ascii="黑体" w:hAnsi="黑体" w:eastAsia="黑体" w:cs="黑体"/>
          <w:b w:val="0"/>
          <w:bCs w:val="0"/>
          <w:snapToGrid w:val="0"/>
          <w:kern w:val="2"/>
          <w:sz w:val="30"/>
          <w:szCs w:val="30"/>
          <w:lang w:val="en-US" w:eastAsia="zh-CN" w:bidi="ar-SA"/>
        </w:rPr>
        <w:t>解决措施</w:t>
      </w:r>
      <w:bookmarkEnd w:id="9"/>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公共艺术本科专业建设发展仅三年时间，学科群的优势发展还未完全展现；教学设备、资源建设投入比重仍然不足，学科建设发展仍有改进前景。</w:t>
      </w:r>
      <w:bookmarkStart w:id="10" w:name="_Toc435893197"/>
      <w:bookmarkStart w:id="11" w:name="_Toc391190614"/>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（一）突出问题</w:t>
      </w:r>
      <w:bookmarkEnd w:id="10"/>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1</w:t>
      </w:r>
      <w:bookmarkEnd w:id="11"/>
      <w:r>
        <w:rPr>
          <w:rFonts w:hint="eastAsia" w:ascii="黑体" w:hAnsi="黑体" w:eastAsia="黑体" w:cs="黑体"/>
          <w:b w:val="0"/>
          <w:bCs/>
          <w:sz w:val="24"/>
          <w:szCs w:val="24"/>
        </w:rPr>
        <w:t>）教育结构体系与课程设置有待进一步完善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从我校公共艺术专业的教育结构体系上来看，虽然体现出我校应用型的办学定位，但是我们的公共艺术专业往往缺少其他综合性院校的相同专业的学科地位，同我校其他专业相比，培养学生从事行业工作中也有一定的局限性，在今后的工作中与相关部门的协调配合缺少联系，所以公共艺术专业教育结构需进一步完善，从而满足和适应社会对公共艺术专业人才的需要。</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2）师资结构和科研水平需要进一步提高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bookmarkStart w:id="12" w:name="_Toc391190615"/>
      <w:r>
        <w:rPr>
          <w:rFonts w:hint="eastAsia" w:ascii="宋体" w:hAnsi="宋体" w:eastAsia="宋体" w:cs="宋体"/>
          <w:sz w:val="24"/>
          <w:szCs w:val="24"/>
        </w:rPr>
        <w:t>学科建设的现有师资中，教授0名，副教授3名，讲师或中级职称9名。高职称教师比例较小，科学研究的深入过程中面临较多困难。虽然经过几年的努力，有一定的缓解，但是学科专业教师的职称比例仍有待提高；另一方面，学科建设中骨干教师35岁以下年轻教师比例较大，35－45岁的高职称教师比例偏小。</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bookmarkStart w:id="13" w:name="_Toc391190617"/>
      <w:r>
        <w:rPr>
          <w:rFonts w:hint="eastAsia" w:ascii="黑体" w:hAnsi="黑体" w:eastAsia="黑体" w:cs="黑体"/>
          <w:b w:val="0"/>
          <w:bCs/>
          <w:sz w:val="24"/>
          <w:szCs w:val="24"/>
        </w:rPr>
        <w:t>3）主要困难是人才引进</w:t>
      </w:r>
      <w:bookmarkEnd w:id="13"/>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目前，本学科建设急需高水平的专业师资人才，从各高校毕业的人才还不能满足目前的需求，另一方面，学校的人才引进机制制约了我们人才引进的速度和力度，从而极大限制了学科的进一步发展。</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bookmarkStart w:id="14" w:name="_Toc391190618"/>
      <w:r>
        <w:rPr>
          <w:rFonts w:hint="eastAsia" w:ascii="黑体" w:hAnsi="黑体" w:eastAsia="黑体" w:cs="黑体"/>
          <w:b w:val="0"/>
          <w:bCs/>
          <w:sz w:val="24"/>
          <w:szCs w:val="24"/>
        </w:rPr>
        <w:t>4）应建立起长期有效的专业发展平台</w:t>
      </w:r>
      <w:bookmarkEnd w:id="14"/>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在学科建设中我们的问题是如何与行业或企业建立起长期有效的专业实践平台。一方面，专业领域的改革正处在一个全新的阶段，发展方向还不够明确；另一方面，理论和实践的交融一直欠缺真正顺畅的平台，从而在一定程度上阻碍了本学科的发展步伐。</w:t>
      </w:r>
      <w:bookmarkEnd w:id="12"/>
      <w:bookmarkStart w:id="15" w:name="_Toc435893198"/>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（二）解决措施</w:t>
      </w:r>
      <w:bookmarkEnd w:id="15"/>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1）以专业实践为核心，推进“订单式”教学与引进“课题式”教学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订单式”教学是指教学内容的订单教学和人才订单式培养。所谓“订单式教学”是指企业将产品设计任务发给实验室，然后实验室将设计任务纳入教学内容，学生在老师的指导下完成产品设计，“订单式教学”使课堂教学与市场接轨，不仅有利于产学研结合，而且极大提高了学生的学习兴趣与信心。</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2）进一</w:t>
      </w:r>
      <w:bookmarkStart w:id="16" w:name="_GoBack"/>
      <w:bookmarkEnd w:id="16"/>
      <w:r>
        <w:rPr>
          <w:rFonts w:hint="eastAsia" w:ascii="黑体" w:hAnsi="黑体" w:eastAsia="黑体" w:cs="黑体"/>
          <w:b w:val="0"/>
          <w:bCs/>
          <w:sz w:val="24"/>
          <w:szCs w:val="24"/>
        </w:rPr>
        <w:t>步加强师资队伍建设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通过内培外聘的方式，建成一支以专业骨干教师为主体，教育观念新，专业技术应用能力强，课程开发与教学能力强，校企互通、专兼结合的“双师型”专业教学团队。对于专职教师，通过专业继续深造、学术交流、校内外实训基地的企业项目参与合作的方式，将其培养成为“把握公共艺术理论发展方向，能为企业提供设计创新、传播技术支持，有较强组织协调能力，掌握先进教育理念”的专业带头人，能组织带动公共艺术专业建设和发展，制定和完善以能力为主导的课程体系，主持专业教学改革和课程建设。</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3) 加大人才引进力度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进一步深化校企合作、依据正在进行中的校企合作项目的需要，计划以设计学、美术学方向引进2名具有丰富实践教学经验的正高职称专职专业教学，建立校企合作定期交流机制和企业兼职教师定期工作交流会，使教师队伍数量保持稳定增长、质量不断提升、实训指导效果明显改善。</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黑体" w:hAnsi="黑体" w:eastAsia="黑体" w:cs="黑体"/>
          <w:b w:val="0"/>
          <w:bCs/>
          <w:sz w:val="24"/>
          <w:szCs w:val="24"/>
        </w:rPr>
      </w:pPr>
      <w:r>
        <w:rPr>
          <w:rFonts w:hint="eastAsia" w:ascii="黑体" w:hAnsi="黑体" w:eastAsia="黑体" w:cs="黑体"/>
          <w:b w:val="0"/>
          <w:bCs/>
          <w:sz w:val="24"/>
          <w:szCs w:val="24"/>
        </w:rPr>
        <w:t>4）建设具有“虚拟、仿真、模拟、实战”等功能的公共实践平台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在实践教学中，公共艺术专业积极推进多元化改革，探讨以校内公共工作室的建设，完善工作室管理制度，确保校内工作室满足教学的需要。校内工作室按照教学计划安排，由任课教师提出申请，实训中心负责具体安排。施行“教师指导、员工管理、学生实训”的开放式管理模式，明确指导教师责任，学生以实训小组为单位，教师现场指导，学生现场操作实践，完成实训项目工作任务；完善设备、人员、专业实训项目管理等有关制度，做到管理职责明确，运行规范有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br w:type="page"/>
      </w:r>
      <w:r>
        <w:rPr>
          <w:sz w:val="24"/>
        </w:rPr>
        <w:pict>
          <v:shape id="_x0000_s2052" o:spid="_x0000_s2052" o:spt="202" type="#_x0000_t202" style="position:absolute;left:0pt;margin-left:189.8pt;margin-top:682.45pt;height:34.5pt;width:57.75pt;z-index:251660288;mso-width-relative:page;mso-height-relative:page;" fillcolor="#FFFFFF" filled="t" stroked="t" coordsize="21600,21600">
            <v:path/>
            <v:fill on="t" focussize="0,0"/>
            <v:stroke color="#FFFFFF [3212]"/>
            <v:imagedata o:title=""/>
            <o:lock v:ext="edit" aspectratio="f"/>
            <v:textbox>
              <w:txbxContent>
                <w:p/>
              </w:txbxContent>
            </v:textbox>
          </v:shape>
        </w:pic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br w:type="page"/>
      </w:r>
      <w:r>
        <w:rPr>
          <w:sz w:val="24"/>
        </w:rPr>
        <w:pict>
          <v:shape id="_x0000_s2051" o:spid="_x0000_s2051" o:spt="202" type="#_x0000_t202" style="position:absolute;left:0pt;margin-left:189.8pt;margin-top:682.45pt;height:34.5pt;width:57.75pt;z-index:251659264;mso-width-relative:page;mso-height-relative:page;" fillcolor="#FFFFFF" filled="t" stroked="t" coordsize="21600,21600">
            <v:path/>
            <v:fill on="t" focussize="0,0"/>
            <v:stroke color="#FFFFFF [3212]"/>
            <v:imagedata o:title=""/>
            <o:lock v:ext="edit" aspectratio="f"/>
            <v:textbox>
              <w:txbxContent>
                <w:p/>
              </w:txbxContent>
            </v:textbox>
          </v:shape>
        </w:pic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eastAsia="宋体" w:cs="宋体"/>
          <w:sz w:val="24"/>
          <w:szCs w:val="24"/>
        </w:rPr>
      </w:pPr>
      <w:r>
        <w:rPr>
          <w:sz w:val="24"/>
        </w:rPr>
        <w:pict>
          <v:shape id="_x0000_s2050" o:spid="_x0000_s2050" o:spt="202" type="#_x0000_t202" style="position:absolute;left:0pt;margin-left:189.8pt;margin-top:682.45pt;height:34.5pt;width:57.75pt;z-index:251658240;mso-width-relative:page;mso-height-relative:page;" fillcolor="#FFFFFF" filled="t" stroked="t" coordsize="21600,21600">
            <v:path/>
            <v:fill on="t" focussize="0,0"/>
            <v:stroke color="#FFFFFF"/>
            <v:imagedata o:title=""/>
            <o:lock v:ext="edit" aspectratio="f"/>
            <v:textbox>
              <w:txbxContent>
                <w:p/>
              </w:txbxContent>
            </v:textbox>
          </v:shape>
        </w:pict>
      </w:r>
    </w:p>
    <w:sectPr>
      <w:footerReference r:id="rId4" w:type="first"/>
      <w:footerReference r:id="rId3" w:type="default"/>
      <w:pgSz w:w="11906" w:h="16838"/>
      <w:pgMar w:top="1417" w:right="1587" w:bottom="1417" w:left="1587" w:header="851" w:footer="1701" w:gutter="0"/>
      <w:pgNumType w:fmt="decimal"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한)고인돌B">
    <w:panose1 w:val="02030600000101010101"/>
    <w:charset w:val="00"/>
    <w:family w:val="auto"/>
    <w:pitch w:val="default"/>
    <w:sig w:usb0="00000000" w:usb1="00000000" w:usb2="00000000" w:usb3="00000000" w:csb0="00000000" w:csb1="00000000"/>
  </w:font>
  <w:font w:name="迷你繁篆书">
    <w:panose1 w:val="02010609000101010101"/>
    <w:charset w:val="86"/>
    <w:family w:val="auto"/>
    <w:pitch w:val="default"/>
    <w:sig w:usb0="00000001" w:usb1="080E0800" w:usb2="00000002" w:usb3="00000000" w:csb0="00040000" w:csb1="00000000"/>
  </w:font>
  <w:font w:name="中國龍海行書">
    <w:panose1 w:val="02010609000101010101"/>
    <w:charset w:val="00"/>
    <w:family w:val="auto"/>
    <w:pitch w:val="default"/>
    <w:sig w:usb0="00000000" w:usb1="00000000" w:usb2="00000000" w:usb3="00000000" w:csb0="00000000" w:csb1="00000000"/>
  </w:font>
  <w:font w:name="书体坊向佳红毛笔行书">
    <w:panose1 w:val="02010600010101010101"/>
    <w:charset w:val="86"/>
    <w:family w:val="auto"/>
    <w:pitch w:val="default"/>
    <w:sig w:usb0="00000001" w:usb1="080E0000" w:usb2="00000000" w:usb3="00000000" w:csb0="00040000" w:csb1="00000000"/>
  </w:font>
  <w:font w:name="书体坊安景臣钢笔行书">
    <w:panose1 w:val="02010601030101010101"/>
    <w:charset w:val="86"/>
    <w:family w:val="auto"/>
    <w:pitch w:val="default"/>
    <w:sig w:usb0="00000001" w:usb1="080E0000" w:usb2="00000000" w:usb3="00000000" w:csb0="00040000" w:csb1="00000000"/>
  </w:font>
  <w:font w:name="书体坊赵九江钢笔楷书">
    <w:panose1 w:val="03000509000000000000"/>
    <w:charset w:val="86"/>
    <w:family w:val="auto"/>
    <w:pitch w:val="default"/>
    <w:sig w:usb0="00000001" w:usb1="080E0000" w:usb2="00000000" w:usb3="00000000" w:csb0="00040000" w:csb1="00000000"/>
  </w:font>
  <w:font w:name="书体坊赵九江钢笔行书">
    <w:panose1 w:val="03000509000000000000"/>
    <w:charset w:val="86"/>
    <w:family w:val="auto"/>
    <w:pitch w:val="default"/>
    <w:sig w:usb0="00000001" w:usb1="080E0000" w:usb2="00000000" w:usb3="00000000" w:csb0="00040000" w:csb1="00000000"/>
  </w:font>
  <w:font w:name="书体坊郭小语钢笔楷体">
    <w:panose1 w:val="02010601030101010101"/>
    <w:charset w:val="86"/>
    <w:family w:val="auto"/>
    <w:pitch w:val="default"/>
    <w:sig w:usb0="00000001" w:usb1="080E0000" w:usb2="00000000" w:usb3="00000000" w:csb0="00040000" w:csb1="00000000"/>
  </w:font>
  <w:font w:name="书体坊雪纯体3500">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体坛粗黑简体">
    <w:panose1 w:val="03000509000000000000"/>
    <w:charset w:val="86"/>
    <w:family w:val="auto"/>
    <w:pitch w:val="default"/>
    <w:sig w:usb0="00000001" w:usb1="080E0000" w:usb2="00000000" w:usb3="00000000" w:csb0="00040000" w:csb1="00000000"/>
  </w:font>
  <w:font w:name="体坛超黑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大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3075" o:spid="_x0000_s3075" o:spt="202" type="#_x0000_t202" style="position:absolute;left:0pt;margin-left:215.65pt;margin-top:23.25pt;height:20pt;width:144pt;mso-position-horizontal-relative:margin;mso-wrap-style:none;z-index:251660288;mso-width-relative:page;mso-height-relative:page;" filled="f" stroked="f" coordsize="21600,21600">
          <v:path/>
          <v:fill on="f" focussize="0,0"/>
          <v:stroke on="f"/>
          <v:imagedata o:title=""/>
          <o:lock v:ext="edit" aspectratio="f"/>
          <v:textbox inset="0mm,0mm,0mm,0mm">
            <w:txbxContent>
              <w:p>
                <w:pPr>
                  <w:snapToGrid w:val="0"/>
                  <w:rPr>
                    <w:rFonts w:hint="eastAsia" w:eastAsia="宋体"/>
                    <w:sz w:val="21"/>
                    <w:szCs w:val="21"/>
                    <w:lang w:eastAsia="zh-CN"/>
                  </w:rPr>
                </w:pP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sz w:val="21"/>
                    <w:szCs w:val="21"/>
                  </w:rPr>
                  <w:t>2</w:t>
                </w:r>
                <w:r>
                  <w:rPr>
                    <w:rFonts w:hint="eastAsia"/>
                    <w:sz w:val="21"/>
                    <w:szCs w:val="21"/>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3076" o:spid="_x0000_s3076"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5359"/>
    <w:rsid w:val="00014B26"/>
    <w:rsid w:val="00033B1B"/>
    <w:rsid w:val="000379BD"/>
    <w:rsid w:val="000D56F6"/>
    <w:rsid w:val="000F58F0"/>
    <w:rsid w:val="00113093"/>
    <w:rsid w:val="00113674"/>
    <w:rsid w:val="00191FDC"/>
    <w:rsid w:val="00196AF4"/>
    <w:rsid w:val="001C3FA4"/>
    <w:rsid w:val="001D53BB"/>
    <w:rsid w:val="002234A6"/>
    <w:rsid w:val="00246550"/>
    <w:rsid w:val="002664B9"/>
    <w:rsid w:val="002D7AB2"/>
    <w:rsid w:val="002E7983"/>
    <w:rsid w:val="002F6917"/>
    <w:rsid w:val="00335969"/>
    <w:rsid w:val="00366EB4"/>
    <w:rsid w:val="00372F8D"/>
    <w:rsid w:val="00395BFF"/>
    <w:rsid w:val="003D5BF0"/>
    <w:rsid w:val="004331C8"/>
    <w:rsid w:val="004374EB"/>
    <w:rsid w:val="00465CED"/>
    <w:rsid w:val="00465E97"/>
    <w:rsid w:val="00483F09"/>
    <w:rsid w:val="004B4819"/>
    <w:rsid w:val="004B73C7"/>
    <w:rsid w:val="004E541C"/>
    <w:rsid w:val="00521C2E"/>
    <w:rsid w:val="00522DDB"/>
    <w:rsid w:val="005A56A3"/>
    <w:rsid w:val="005B0F30"/>
    <w:rsid w:val="005E69DD"/>
    <w:rsid w:val="006352BF"/>
    <w:rsid w:val="0063795F"/>
    <w:rsid w:val="006A1BB0"/>
    <w:rsid w:val="006C6905"/>
    <w:rsid w:val="006D55CF"/>
    <w:rsid w:val="006E428C"/>
    <w:rsid w:val="006F2631"/>
    <w:rsid w:val="00742B46"/>
    <w:rsid w:val="00750E3E"/>
    <w:rsid w:val="0076549F"/>
    <w:rsid w:val="00767696"/>
    <w:rsid w:val="00773CD6"/>
    <w:rsid w:val="0078517B"/>
    <w:rsid w:val="007E5420"/>
    <w:rsid w:val="007E6AFB"/>
    <w:rsid w:val="00815C60"/>
    <w:rsid w:val="0084051E"/>
    <w:rsid w:val="00870702"/>
    <w:rsid w:val="00884B79"/>
    <w:rsid w:val="00902415"/>
    <w:rsid w:val="009046A9"/>
    <w:rsid w:val="00905359"/>
    <w:rsid w:val="00916AFC"/>
    <w:rsid w:val="0098113F"/>
    <w:rsid w:val="00A35501"/>
    <w:rsid w:val="00A4517E"/>
    <w:rsid w:val="00AD714D"/>
    <w:rsid w:val="00B238FF"/>
    <w:rsid w:val="00B315C6"/>
    <w:rsid w:val="00B347F7"/>
    <w:rsid w:val="00B7528F"/>
    <w:rsid w:val="00B776D4"/>
    <w:rsid w:val="00BA7C3E"/>
    <w:rsid w:val="00BC485E"/>
    <w:rsid w:val="00BE64AD"/>
    <w:rsid w:val="00BE791D"/>
    <w:rsid w:val="00BF0193"/>
    <w:rsid w:val="00BF530E"/>
    <w:rsid w:val="00C06C80"/>
    <w:rsid w:val="00C169EB"/>
    <w:rsid w:val="00CA45CF"/>
    <w:rsid w:val="00CE4931"/>
    <w:rsid w:val="00D15889"/>
    <w:rsid w:val="00D47AE2"/>
    <w:rsid w:val="00D823DA"/>
    <w:rsid w:val="00DC3216"/>
    <w:rsid w:val="00DD4A01"/>
    <w:rsid w:val="00DE403D"/>
    <w:rsid w:val="00E56BB9"/>
    <w:rsid w:val="00E739BD"/>
    <w:rsid w:val="00E7690F"/>
    <w:rsid w:val="00EE371F"/>
    <w:rsid w:val="00F00EF2"/>
    <w:rsid w:val="00F0258F"/>
    <w:rsid w:val="00F10E15"/>
    <w:rsid w:val="00F42554"/>
    <w:rsid w:val="00F500D7"/>
    <w:rsid w:val="00F60984"/>
    <w:rsid w:val="00F668B4"/>
    <w:rsid w:val="00F70C19"/>
    <w:rsid w:val="1C7F7075"/>
    <w:rsid w:val="28FD1AAF"/>
    <w:rsid w:val="359F4D6C"/>
    <w:rsid w:val="39F0016C"/>
    <w:rsid w:val="3FD67016"/>
    <w:rsid w:val="482D4FA6"/>
    <w:rsid w:val="4A1C02CC"/>
    <w:rsid w:val="505B2465"/>
    <w:rsid w:val="523A029C"/>
    <w:rsid w:val="5270075A"/>
    <w:rsid w:val="54C320D8"/>
    <w:rsid w:val="566A6A7E"/>
    <w:rsid w:val="7E0D4C32"/>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5"/>
    <w:qFormat/>
    <w:uiPriority w:val="0"/>
    <w:pPr>
      <w:widowControl/>
      <w:spacing w:before="100" w:beforeAutospacing="1" w:after="100" w:afterAutospacing="1"/>
      <w:jc w:val="left"/>
      <w:outlineLvl w:val="2"/>
    </w:pPr>
    <w:rPr>
      <w:rFonts w:ascii="宋体" w:hAnsi="宋体" w:cs="宋体"/>
      <w:b/>
      <w:bCs/>
      <w:kern w:val="0"/>
      <w:sz w:val="27"/>
      <w:szCs w:val="27"/>
    </w:rPr>
  </w:style>
  <w:style w:type="character" w:default="1" w:styleId="9">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Date"/>
    <w:basedOn w:val="1"/>
    <w:next w:val="1"/>
    <w:link w:val="18"/>
    <w:qFormat/>
    <w:uiPriority w:val="0"/>
    <w:pPr>
      <w:ind w:left="100" w:leftChars="2500"/>
    </w:pPr>
    <w:rPr>
      <w:rFonts w:eastAsia="仿宋_GB2312"/>
      <w:color w:val="000000"/>
      <w:sz w:val="32"/>
      <w:szCs w:val="32"/>
    </w:rPr>
  </w:style>
  <w:style w:type="paragraph" w:styleId="4">
    <w:name w:val="Balloon Text"/>
    <w:basedOn w:val="1"/>
    <w:link w:val="19"/>
    <w:qFormat/>
    <w:uiPriority w:val="0"/>
    <w:rPr>
      <w:sz w:val="18"/>
      <w:szCs w:val="18"/>
    </w:rPr>
  </w:style>
  <w:style w:type="paragraph" w:styleId="5">
    <w:name w:val="footer"/>
    <w:basedOn w:val="1"/>
    <w:link w:val="14"/>
    <w:unhideWhenUsed/>
    <w:qFormat/>
    <w:uiPriority w:val="0"/>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rPr>
      <w:sz w:val="24"/>
    </w:rPr>
  </w:style>
  <w:style w:type="paragraph" w:styleId="8">
    <w:name w:val="toc 2"/>
    <w:basedOn w:val="1"/>
    <w:next w:val="1"/>
    <w:qFormat/>
    <w:uiPriority w:val="39"/>
    <w:pPr>
      <w:ind w:left="420" w:leftChars="200"/>
    </w:pPr>
  </w:style>
  <w:style w:type="character" w:styleId="10">
    <w:name w:val="page number"/>
    <w:basedOn w:val="9"/>
    <w:qFormat/>
    <w:uiPriority w:val="99"/>
  </w:style>
  <w:style w:type="character" w:styleId="11">
    <w:name w:val="Hyperlink"/>
    <w:qFormat/>
    <w:uiPriority w:val="0"/>
    <w:rPr>
      <w:color w:val="0000FF"/>
      <w:u w:val="single"/>
    </w:rPr>
  </w:style>
  <w:style w:type="character" w:customStyle="1" w:styleId="13">
    <w:name w:val="页眉 Char"/>
    <w:basedOn w:val="9"/>
    <w:link w:val="6"/>
    <w:qFormat/>
    <w:uiPriority w:val="0"/>
    <w:rPr>
      <w:sz w:val="18"/>
      <w:szCs w:val="18"/>
    </w:rPr>
  </w:style>
  <w:style w:type="character" w:customStyle="1" w:styleId="14">
    <w:name w:val="页脚 Char"/>
    <w:basedOn w:val="9"/>
    <w:link w:val="5"/>
    <w:qFormat/>
    <w:uiPriority w:val="0"/>
    <w:rPr>
      <w:sz w:val="18"/>
      <w:szCs w:val="18"/>
    </w:rPr>
  </w:style>
  <w:style w:type="character" w:customStyle="1" w:styleId="15">
    <w:name w:val="标题 3 Char"/>
    <w:basedOn w:val="9"/>
    <w:link w:val="2"/>
    <w:qFormat/>
    <w:uiPriority w:val="0"/>
    <w:rPr>
      <w:rFonts w:ascii="宋体" w:hAnsi="宋体" w:eastAsia="宋体" w:cs="宋体"/>
      <w:b/>
      <w:bCs/>
      <w:kern w:val="0"/>
      <w:sz w:val="27"/>
      <w:szCs w:val="27"/>
    </w:rPr>
  </w:style>
  <w:style w:type="paragraph" w:customStyle="1" w:styleId="16">
    <w:name w:val="Char"/>
    <w:next w:val="1"/>
    <w:qFormat/>
    <w:uiPriority w:val="0"/>
    <w:pPr>
      <w:keepNext/>
      <w:keepLines/>
      <w:spacing w:before="240" w:after="240"/>
      <w:outlineLvl w:val="7"/>
    </w:pPr>
    <w:rPr>
      <w:rFonts w:ascii="Times New Roman" w:hAnsi="Times New Roman" w:eastAsia="宋体" w:cs="Times New Roman"/>
      <w:kern w:val="0"/>
      <w:sz w:val="20"/>
      <w:szCs w:val="20"/>
      <w:lang w:val="en-US" w:eastAsia="zh-CN" w:bidi="ar-SA"/>
    </w:rPr>
  </w:style>
  <w:style w:type="paragraph" w:customStyle="1" w:styleId="17">
    <w:name w:val="p0"/>
    <w:basedOn w:val="1"/>
    <w:qFormat/>
    <w:uiPriority w:val="0"/>
    <w:pPr>
      <w:widowControl/>
      <w:spacing w:before="100" w:beforeAutospacing="1" w:after="100" w:afterAutospacing="1"/>
      <w:jc w:val="left"/>
    </w:pPr>
    <w:rPr>
      <w:rFonts w:ascii="宋体" w:hAnsi="宋体" w:cs="宋体"/>
      <w:kern w:val="0"/>
      <w:sz w:val="24"/>
    </w:rPr>
  </w:style>
  <w:style w:type="character" w:customStyle="1" w:styleId="18">
    <w:name w:val="日期 Char"/>
    <w:basedOn w:val="9"/>
    <w:link w:val="3"/>
    <w:qFormat/>
    <w:uiPriority w:val="0"/>
    <w:rPr>
      <w:rFonts w:ascii="Times New Roman" w:hAnsi="Times New Roman" w:eastAsia="仿宋_GB2312" w:cs="Times New Roman"/>
      <w:color w:val="000000"/>
      <w:sz w:val="32"/>
      <w:szCs w:val="32"/>
    </w:rPr>
  </w:style>
  <w:style w:type="character" w:customStyle="1" w:styleId="19">
    <w:name w:val="批注框文本 Char"/>
    <w:basedOn w:val="9"/>
    <w:link w:val="4"/>
    <w:qFormat/>
    <w:uiPriority w:val="0"/>
    <w:rPr>
      <w:rFonts w:ascii="Times New Roman" w:hAnsi="Times New Roman" w:eastAsia="宋体" w:cs="Times New Roman"/>
      <w:sz w:val="18"/>
      <w:szCs w:val="18"/>
    </w:rPr>
  </w:style>
  <w:style w:type="paragraph" w:customStyle="1" w:styleId="20">
    <w:name w:val="List Paragraph"/>
    <w:basedOn w:val="1"/>
    <w:qFormat/>
    <w:uiPriority w:val="34"/>
    <w:pPr>
      <w:ind w:firstLine="420" w:firstLineChars="200"/>
    </w:pPr>
  </w:style>
  <w:style w:type="character" w:customStyle="1" w:styleId="21">
    <w:name w:val="李2 Char"/>
    <w:link w:val="22"/>
    <w:qFormat/>
    <w:uiPriority w:val="0"/>
    <w:rPr>
      <w:rFonts w:ascii="宋体" w:hAnsi="宋体"/>
      <w:b/>
      <w:sz w:val="24"/>
      <w:szCs w:val="24"/>
    </w:rPr>
  </w:style>
  <w:style w:type="paragraph" w:customStyle="1" w:styleId="22">
    <w:name w:val="李2"/>
    <w:basedOn w:val="1"/>
    <w:link w:val="21"/>
    <w:qFormat/>
    <w:uiPriority w:val="0"/>
    <w:pPr>
      <w:adjustRightInd w:val="0"/>
      <w:snapToGrid w:val="0"/>
      <w:spacing w:line="500" w:lineRule="exact"/>
      <w:ind w:firstLine="310" w:firstLineChars="147"/>
    </w:pPr>
    <w:rPr>
      <w:rFonts w:ascii="宋体" w:hAnsi="宋体" w:eastAsiaTheme="minorEastAsia" w:cstheme="minorBidi"/>
      <w:b/>
      <w:sz w:val="24"/>
    </w:rPr>
  </w:style>
  <w:style w:type="character" w:customStyle="1" w:styleId="23">
    <w:name w:val="李1 Char"/>
    <w:link w:val="24"/>
    <w:qFormat/>
    <w:uiPriority w:val="0"/>
    <w:rPr>
      <w:rFonts w:eastAsia="黑体"/>
      <w:b/>
      <w:sz w:val="28"/>
      <w:szCs w:val="32"/>
    </w:rPr>
  </w:style>
  <w:style w:type="paragraph" w:customStyle="1" w:styleId="24">
    <w:name w:val="李1"/>
    <w:basedOn w:val="1"/>
    <w:link w:val="23"/>
    <w:qFormat/>
    <w:uiPriority w:val="0"/>
    <w:pPr>
      <w:spacing w:beforeLines="50" w:afterLines="50" w:line="500" w:lineRule="exact"/>
      <w:jc w:val="left"/>
    </w:pPr>
    <w:rPr>
      <w:rFonts w:eastAsia="黑体" w:asciiTheme="minorHAnsi" w:hAnsiTheme="minorHAnsi" w:cstheme="minorBidi"/>
      <w:b/>
      <w:sz w:val="28"/>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5" textRotate="1"/>
    <customShpInfo spid="_x0000_s3076" textRotate="1"/>
    <customShpInfo spid="_x0000_s2052"/>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2300BB-DB08-4768-BACD-403E6204AADA}">
  <ds:schemaRefs/>
</ds:datastoreItem>
</file>

<file path=docProps/app.xml><?xml version="1.0" encoding="utf-8"?>
<Properties xmlns="http://schemas.openxmlformats.org/officeDocument/2006/extended-properties" xmlns:vt="http://schemas.openxmlformats.org/officeDocument/2006/docPropsVTypes">
  <Template>Normal</Template>
  <Pages>13</Pages>
  <Words>1660</Words>
  <Characters>9466</Characters>
  <Lines>78</Lines>
  <Paragraphs>22</Paragraphs>
  <ScaleCrop>false</ScaleCrop>
  <LinksUpToDate>false</LinksUpToDate>
  <CharactersWithSpaces>11104</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2016-09-12T09:35:00Z</dcterms:created>
  <dc:creator>Windows 用户</dc:creator>
  <cp:lastModifiedBy>Administrator</cp:lastModifiedBy>
  <dcterms:modified xsi:type="dcterms:W3CDTF">2016-09-27T04:18:45Z</dcterms:modified>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